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CFF" w:rsidRDefault="00F363FB" w:rsidP="00665B9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Светильник общего назначения стационарный, т.м. "Feron" серии: </w:t>
      </w:r>
      <w:r w:rsidR="00800FA5">
        <w:rPr>
          <w:rFonts w:ascii="Arial" w:hAnsi="Arial" w:cs="Arial"/>
          <w:b/>
          <w:caps/>
          <w:sz w:val="16"/>
          <w:szCs w:val="16"/>
          <w:lang w:val="en-US"/>
        </w:rPr>
        <w:t>HL</w:t>
      </w:r>
      <w:r w:rsidR="00800FA5" w:rsidRPr="00800FA5">
        <w:rPr>
          <w:rFonts w:ascii="Arial" w:hAnsi="Arial" w:cs="Arial"/>
          <w:b/>
          <w:caps/>
          <w:sz w:val="16"/>
          <w:szCs w:val="16"/>
        </w:rPr>
        <w:t xml:space="preserve">, </w:t>
      </w:r>
      <w:r>
        <w:rPr>
          <w:rFonts w:ascii="Arial" w:hAnsi="Arial" w:cs="Arial"/>
          <w:b/>
          <w:caps/>
          <w:sz w:val="16"/>
          <w:szCs w:val="16"/>
        </w:rPr>
        <w:t>ML</w:t>
      </w:r>
    </w:p>
    <w:p w:rsidR="00C143CC" w:rsidRPr="00105678" w:rsidRDefault="00C143CC" w:rsidP="00665B9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="00F363FB">
        <w:rPr>
          <w:rFonts w:ascii="Arial" w:hAnsi="Arial" w:cs="Arial"/>
          <w:b/>
          <w:caps/>
          <w:sz w:val="16"/>
          <w:szCs w:val="16"/>
          <w:lang w:val="en-US"/>
        </w:rPr>
        <w:t>M</w:t>
      </w:r>
      <w:r>
        <w:rPr>
          <w:rFonts w:ascii="Arial" w:hAnsi="Arial" w:cs="Arial"/>
          <w:b/>
          <w:caps/>
          <w:sz w:val="16"/>
          <w:szCs w:val="16"/>
          <w:lang w:val="en-US"/>
        </w:rPr>
        <w:t>l</w:t>
      </w:r>
      <w:r w:rsidR="00F363FB" w:rsidRPr="00F363FB">
        <w:rPr>
          <w:rFonts w:ascii="Arial" w:hAnsi="Arial" w:cs="Arial"/>
          <w:b/>
          <w:caps/>
          <w:sz w:val="16"/>
          <w:szCs w:val="16"/>
        </w:rPr>
        <w:t>1</w:t>
      </w:r>
      <w:r w:rsidR="00800FA5" w:rsidRPr="00800FA5">
        <w:rPr>
          <w:rFonts w:ascii="Arial" w:hAnsi="Arial" w:cs="Arial"/>
          <w:b/>
          <w:caps/>
          <w:sz w:val="16"/>
          <w:szCs w:val="16"/>
        </w:rPr>
        <w:t>85</w:t>
      </w:r>
      <w:r w:rsidRPr="00C143CC">
        <w:rPr>
          <w:rFonts w:ascii="Arial" w:hAnsi="Arial" w:cs="Arial"/>
          <w:b/>
          <w:caps/>
          <w:sz w:val="16"/>
          <w:szCs w:val="16"/>
        </w:rPr>
        <w:t xml:space="preserve">0, </w:t>
      </w:r>
      <w:r w:rsidR="00800FA5">
        <w:rPr>
          <w:rFonts w:ascii="Arial" w:hAnsi="Arial" w:cs="Arial"/>
          <w:b/>
          <w:caps/>
          <w:sz w:val="16"/>
          <w:szCs w:val="16"/>
          <w:lang w:val="en-US"/>
        </w:rPr>
        <w:t>HL</w:t>
      </w:r>
      <w:r w:rsidR="00800FA5" w:rsidRPr="00507ACA">
        <w:rPr>
          <w:rFonts w:ascii="Arial" w:hAnsi="Arial" w:cs="Arial"/>
          <w:b/>
          <w:caps/>
          <w:sz w:val="16"/>
          <w:szCs w:val="16"/>
        </w:rPr>
        <w:t>3670</w:t>
      </w:r>
    </w:p>
    <w:p w:rsidR="00B42CFF" w:rsidRPr="00665B9C" w:rsidRDefault="00B42CFF" w:rsidP="00665B9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65B9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Описание</w:t>
      </w:r>
    </w:p>
    <w:p w:rsidR="00B42CFF" w:rsidRDefault="00B42CFF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Светильник предназначен для общего </w:t>
      </w:r>
      <w:r w:rsidR="002E7FF1" w:rsidRPr="00665B9C">
        <w:rPr>
          <w:rFonts w:ascii="Arial" w:hAnsi="Arial" w:cs="Arial"/>
          <w:sz w:val="16"/>
          <w:szCs w:val="16"/>
        </w:rPr>
        <w:t xml:space="preserve">и дополнительного </w:t>
      </w:r>
      <w:r w:rsidRPr="00665B9C">
        <w:rPr>
          <w:rFonts w:ascii="Arial" w:hAnsi="Arial" w:cs="Arial"/>
          <w:sz w:val="16"/>
          <w:szCs w:val="16"/>
        </w:rPr>
        <w:t>освещения помещений</w:t>
      </w:r>
      <w:r w:rsidR="00187F76" w:rsidRPr="00665B9C">
        <w:rPr>
          <w:rFonts w:ascii="Arial" w:hAnsi="Arial" w:cs="Arial"/>
          <w:sz w:val="16"/>
          <w:szCs w:val="16"/>
        </w:rPr>
        <w:t xml:space="preserve"> офисов, </w:t>
      </w:r>
      <w:r w:rsidR="002E7FF1" w:rsidRPr="00665B9C">
        <w:rPr>
          <w:rFonts w:ascii="Arial" w:hAnsi="Arial" w:cs="Arial"/>
          <w:sz w:val="16"/>
          <w:szCs w:val="16"/>
        </w:rPr>
        <w:t>административных зданий</w:t>
      </w:r>
      <w:r w:rsidR="00187F76" w:rsidRPr="00665B9C">
        <w:rPr>
          <w:rFonts w:ascii="Arial" w:hAnsi="Arial" w:cs="Arial"/>
          <w:sz w:val="16"/>
          <w:szCs w:val="16"/>
        </w:rPr>
        <w:t xml:space="preserve">, помещений общественного питания, </w:t>
      </w:r>
      <w:r w:rsidR="002E7FF1" w:rsidRPr="00665B9C">
        <w:rPr>
          <w:rFonts w:ascii="Arial" w:hAnsi="Arial" w:cs="Arial"/>
          <w:sz w:val="16"/>
          <w:szCs w:val="16"/>
        </w:rPr>
        <w:t>жилых помещений</w:t>
      </w:r>
      <w:r w:rsidR="00BF7E1D" w:rsidRPr="00665B9C">
        <w:rPr>
          <w:rFonts w:ascii="Arial" w:hAnsi="Arial" w:cs="Arial"/>
          <w:sz w:val="16"/>
          <w:szCs w:val="16"/>
        </w:rPr>
        <w:t>, рабочих мест, прикроватного освещения</w:t>
      </w:r>
      <w:r w:rsidR="002E7FF1" w:rsidRPr="00665B9C">
        <w:rPr>
          <w:rFonts w:ascii="Arial" w:hAnsi="Arial" w:cs="Arial"/>
          <w:sz w:val="16"/>
          <w:szCs w:val="16"/>
        </w:rPr>
        <w:t xml:space="preserve"> и </w:t>
      </w:r>
      <w:r w:rsidR="00C143CC" w:rsidRPr="00665B9C">
        <w:rPr>
          <w:rFonts w:ascii="Arial" w:hAnsi="Arial" w:cs="Arial"/>
          <w:sz w:val="16"/>
          <w:szCs w:val="16"/>
        </w:rPr>
        <w:t>пр.</w:t>
      </w:r>
    </w:p>
    <w:p w:rsidR="00F363FB" w:rsidRDefault="00F363FB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Светильники</w:t>
      </w:r>
      <w:r>
        <w:t xml:space="preserve"> </w:t>
      </w:r>
      <w:r>
        <w:rPr>
          <w:rFonts w:ascii="Arial" w:hAnsi="Arial" w:cs="Arial"/>
          <w:sz w:val="16"/>
          <w:szCs w:val="16"/>
        </w:rPr>
        <w:t>ML1</w:t>
      </w:r>
      <w:r w:rsidR="00800FA5" w:rsidRPr="00800FA5">
        <w:rPr>
          <w:rFonts w:ascii="Arial" w:hAnsi="Arial" w:cs="Arial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предназначены для использования с галогенными, энергосберегающими или светодиодными лампами с цоколем </w:t>
      </w:r>
      <w:r>
        <w:rPr>
          <w:rFonts w:ascii="Arial" w:hAnsi="Arial" w:cs="Arial"/>
          <w:sz w:val="16"/>
          <w:szCs w:val="16"/>
          <w:lang w:val="en-US"/>
        </w:rPr>
        <w:t>GU</w:t>
      </w:r>
      <w:r>
        <w:rPr>
          <w:rFonts w:ascii="Arial" w:hAnsi="Arial" w:cs="Arial"/>
          <w:sz w:val="16"/>
          <w:szCs w:val="16"/>
        </w:rPr>
        <w:t>10 рассчитанными для использования в сетях переменного тока с номинальным напряжением 230В, и имеющими мощность, не превышающую 35Вт (лампа не входит в комплект поставки).</w:t>
      </w:r>
    </w:p>
    <w:p w:rsidR="00F363FB" w:rsidRPr="00665B9C" w:rsidRDefault="00F363FB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Светильники </w:t>
      </w:r>
      <w:r w:rsidR="00800FA5">
        <w:rPr>
          <w:rFonts w:ascii="Arial" w:hAnsi="Arial" w:cs="Arial"/>
          <w:sz w:val="16"/>
          <w:szCs w:val="16"/>
          <w:lang w:val="en-US"/>
        </w:rPr>
        <w:t>HL</w:t>
      </w:r>
      <w:r w:rsidR="00800FA5" w:rsidRPr="00800FA5">
        <w:rPr>
          <w:rFonts w:ascii="Arial" w:hAnsi="Arial" w:cs="Arial"/>
          <w:sz w:val="16"/>
          <w:szCs w:val="16"/>
        </w:rPr>
        <w:t>367</w:t>
      </w:r>
      <w:r w:rsidRPr="00F363FB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предназначены для использования со светодиодными лампами с цоколем G</w:t>
      </w:r>
      <w:r w:rsidR="00800FA5">
        <w:rPr>
          <w:rFonts w:ascii="Arial" w:hAnsi="Arial" w:cs="Arial"/>
          <w:sz w:val="16"/>
          <w:szCs w:val="16"/>
          <w:lang w:val="en-US"/>
        </w:rPr>
        <w:t>X</w:t>
      </w:r>
      <w:r w:rsidR="00800FA5" w:rsidRPr="00800FA5">
        <w:rPr>
          <w:rFonts w:ascii="Arial" w:hAnsi="Arial" w:cs="Arial"/>
          <w:sz w:val="16"/>
          <w:szCs w:val="16"/>
        </w:rPr>
        <w:t>53</w:t>
      </w:r>
      <w:r>
        <w:rPr>
          <w:rFonts w:ascii="Arial" w:hAnsi="Arial" w:cs="Arial"/>
          <w:sz w:val="16"/>
          <w:szCs w:val="16"/>
        </w:rPr>
        <w:t>, рассчитанными для использования в сетях переменного тока с номинальным напряжением 230В, и имеющими мощность, не превышающую 1</w:t>
      </w:r>
      <w:r w:rsidR="00800FA5" w:rsidRPr="00800FA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Вт (лампа не входит в комплект поставки).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Технические характеристики: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430"/>
        <w:gridCol w:w="3513"/>
        <w:gridCol w:w="3513"/>
      </w:tblGrid>
      <w:tr w:rsidR="00800FA5" w:rsidRPr="00665B9C" w:rsidTr="00800FA5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FA5" w:rsidRPr="00C143CC" w:rsidRDefault="00800FA5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C143CC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FA5" w:rsidRPr="00665B9C" w:rsidRDefault="00800FA5" w:rsidP="00665B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</w:t>
            </w:r>
            <w:r w:rsidRPr="00665B9C">
              <w:rPr>
                <w:rFonts w:ascii="Arial" w:hAnsi="Arial" w:cs="Arial"/>
                <w:b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1850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FA5" w:rsidRPr="00665B9C" w:rsidRDefault="00800FA5" w:rsidP="00800FA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HL3670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Напряжение питания, В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Частота, Гц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9D4422" w:rsidRPr="00665B9C" w:rsidTr="00800FA5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665B9C">
              <w:rPr>
                <w:rFonts w:ascii="Arial" w:hAnsi="Arial" w:cs="Arial"/>
                <w:sz w:val="16"/>
                <w:szCs w:val="16"/>
              </w:rPr>
              <w:t>атрон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GU10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00FA5">
              <w:rPr>
                <w:rFonts w:ascii="Arial" w:hAnsi="Arial" w:cs="Arial"/>
                <w:sz w:val="16"/>
                <w:szCs w:val="16"/>
                <w:lang w:val="en-US"/>
              </w:rPr>
              <w:t>X53</w:t>
            </w:r>
          </w:p>
        </w:tc>
      </w:tr>
      <w:tr w:rsidR="009D4422" w:rsidRPr="00665B9C" w:rsidTr="00800FA5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9D4422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Тип лампы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9D442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Светодиодная, энергосберегающая, галогенная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22" w:rsidRDefault="009D4422" w:rsidP="009D44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Светодиодная</w:t>
            </w:r>
          </w:p>
        </w:tc>
      </w:tr>
      <w:tr w:rsidR="009D4422" w:rsidRPr="00665B9C" w:rsidTr="00800FA5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Максимальная мощность лампы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22" w:rsidRPr="009D4422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800FA5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Размеры корпуса, мм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См.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упаквоке</w:t>
            </w:r>
            <w:proofErr w:type="spellEnd"/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134633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633">
              <w:rPr>
                <w:rFonts w:ascii="Arial" w:hAnsi="Arial" w:cs="Arial"/>
                <w:sz w:val="16"/>
                <w:szCs w:val="16"/>
              </w:rPr>
              <w:t>0...+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34633">
              <w:rPr>
                <w:rFonts w:ascii="Arial" w:hAnsi="Arial" w:cs="Arial"/>
                <w:sz w:val="16"/>
                <w:szCs w:val="16"/>
              </w:rPr>
              <w:t>0 °С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422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Защита от пыли и влаги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B9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665B9C">
              <w:rPr>
                <w:rFonts w:ascii="Arial" w:hAnsi="Arial" w:cs="Arial"/>
                <w:sz w:val="16"/>
                <w:szCs w:val="16"/>
              </w:rPr>
              <w:t>2</w:t>
            </w:r>
            <w:r w:rsidRPr="00665B9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 xml:space="preserve">Класс защиты 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6B8E" w:rsidRDefault="00105678" w:rsidP="00665B9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666B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 xml:space="preserve">Цвет корпуса 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Комплектация</w:t>
      </w:r>
    </w:p>
    <w:p w:rsidR="00B42CFF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Светильник.</w:t>
      </w:r>
    </w:p>
    <w:p w:rsidR="00D91A04" w:rsidRPr="00665B9C" w:rsidRDefault="00D91A04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Клеммная колодка.</w:t>
      </w:r>
    </w:p>
    <w:p w:rsidR="00B42CFF" w:rsidRPr="00665B9C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Инструкция по эксплуатации.</w:t>
      </w:r>
    </w:p>
    <w:p w:rsidR="00B42CFF" w:rsidRPr="00665B9C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Коробка упаковочная.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Подключение.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54"/>
        <w:gridCol w:w="5042"/>
      </w:tblGrid>
      <w:tr w:rsidR="00800FA5" w:rsidTr="00800FA5">
        <w:tc>
          <w:tcPr>
            <w:tcW w:w="5054" w:type="dxa"/>
          </w:tcPr>
          <w:p w:rsidR="00A413CA" w:rsidRPr="00A413CA" w:rsidRDefault="00A413CA" w:rsidP="00A413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ML1750</w:t>
            </w:r>
          </w:p>
        </w:tc>
        <w:tc>
          <w:tcPr>
            <w:tcW w:w="5042" w:type="dxa"/>
          </w:tcPr>
          <w:p w:rsidR="00A413CA" w:rsidRPr="00A413CA" w:rsidRDefault="00800FA5" w:rsidP="00A413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HL3670</w:t>
            </w:r>
          </w:p>
        </w:tc>
      </w:tr>
      <w:tr w:rsidR="00800FA5" w:rsidTr="00800FA5">
        <w:tc>
          <w:tcPr>
            <w:tcW w:w="5054" w:type="dxa"/>
          </w:tcPr>
          <w:p w:rsidR="00A413CA" w:rsidRDefault="00800FA5" w:rsidP="00A413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0C94820" wp14:editId="1B90E9F0">
                  <wp:extent cx="2992012" cy="4543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322" cy="456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2" w:type="dxa"/>
          </w:tcPr>
          <w:p w:rsidR="00A413CA" w:rsidRDefault="00800FA5" w:rsidP="00A413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C6C9F94" wp14:editId="7637A80B">
                  <wp:extent cx="3038475" cy="461378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367" cy="463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CFF" w:rsidRPr="00665B9C" w:rsidRDefault="00D91A04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</w:t>
      </w:r>
      <w:r w:rsidR="00D26F13" w:rsidRPr="00665B9C">
        <w:rPr>
          <w:rFonts w:ascii="Arial" w:hAnsi="Arial" w:cs="Arial"/>
          <w:sz w:val="16"/>
          <w:szCs w:val="16"/>
        </w:rPr>
        <w:t xml:space="preserve">оедините провода питающей сети с проводами, идущими на светильник. </w:t>
      </w:r>
      <w:r w:rsidR="00B42CFF" w:rsidRPr="00665B9C">
        <w:rPr>
          <w:rFonts w:ascii="Arial" w:hAnsi="Arial" w:cs="Arial"/>
          <w:sz w:val="16"/>
          <w:szCs w:val="16"/>
        </w:rPr>
        <w:t xml:space="preserve">Подключите коричневый провод </w:t>
      </w:r>
      <w:r>
        <w:rPr>
          <w:rFonts w:ascii="Arial" w:hAnsi="Arial" w:cs="Arial"/>
          <w:sz w:val="16"/>
          <w:szCs w:val="16"/>
        </w:rPr>
        <w:t>светильника</w:t>
      </w:r>
      <w:r w:rsidR="00B42CFF" w:rsidRPr="00665B9C">
        <w:rPr>
          <w:rFonts w:ascii="Arial" w:hAnsi="Arial" w:cs="Arial"/>
          <w:sz w:val="16"/>
          <w:szCs w:val="16"/>
        </w:rPr>
        <w:t xml:space="preserve"> к фазному контакту, а синий провод к контакту нейтрали питающей сети</w:t>
      </w:r>
      <w:r>
        <w:rPr>
          <w:rFonts w:ascii="Arial" w:hAnsi="Arial" w:cs="Arial"/>
          <w:sz w:val="16"/>
          <w:szCs w:val="16"/>
        </w:rPr>
        <w:t xml:space="preserve"> при помощи клеммной колодки (в комплекте поставки)</w:t>
      </w:r>
      <w:r w:rsidR="00B42CFF" w:rsidRPr="00665B9C">
        <w:rPr>
          <w:rFonts w:ascii="Arial" w:hAnsi="Arial" w:cs="Arial"/>
          <w:sz w:val="16"/>
          <w:szCs w:val="16"/>
        </w:rPr>
        <w:t>.</w:t>
      </w:r>
    </w:p>
    <w:p w:rsidR="00D26F13" w:rsidRPr="00665B9C" w:rsidRDefault="00D26F13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Закрепите светильник на монтажной поверхности при помощи </w:t>
      </w:r>
      <w:r w:rsidR="00B10931">
        <w:rPr>
          <w:rFonts w:ascii="Arial" w:hAnsi="Arial" w:cs="Arial"/>
          <w:sz w:val="16"/>
          <w:szCs w:val="16"/>
        </w:rPr>
        <w:t>саморезов</w:t>
      </w:r>
      <w:r w:rsidRPr="00665B9C">
        <w:rPr>
          <w:rFonts w:ascii="Arial" w:hAnsi="Arial" w:cs="Arial"/>
          <w:sz w:val="16"/>
          <w:szCs w:val="16"/>
        </w:rPr>
        <w:t>.</w:t>
      </w:r>
    </w:p>
    <w:p w:rsidR="004E21EF" w:rsidRPr="00665B9C" w:rsidRDefault="004E21EF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Вставьте лампу в патрон.</w:t>
      </w:r>
    </w:p>
    <w:p w:rsidR="00B42CFF" w:rsidRPr="00665B9C" w:rsidRDefault="00B42CFF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Включите питание.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К работе со светильником допускаются </w:t>
      </w:r>
      <w:r w:rsidR="00C143CC" w:rsidRPr="00665B9C">
        <w:rPr>
          <w:rFonts w:ascii="Arial" w:hAnsi="Arial" w:cs="Arial"/>
          <w:sz w:val="16"/>
          <w:szCs w:val="16"/>
        </w:rPr>
        <w:t>лица,</w:t>
      </w:r>
      <w:r w:rsidRPr="00665B9C">
        <w:rPr>
          <w:rFonts w:ascii="Arial" w:hAnsi="Arial" w:cs="Arial"/>
          <w:sz w:val="16"/>
          <w:szCs w:val="16"/>
        </w:rPr>
        <w:t xml:space="preserve"> имеющие группу допуска по электробезопасности не ниже III.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Не вскрывайте корпус светильника, это может привести к повреждению внутренних частей конструкции светильника.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lastRenderedPageBreak/>
        <w:t>Изделие предназначено для использования только внутри помещений.</w:t>
      </w:r>
    </w:p>
    <w:p w:rsidR="00B42CFF" w:rsidRPr="00B10931" w:rsidRDefault="00B42CFF" w:rsidP="00B109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Все работы со светильником выполняются только при отключенном напряжении питания.</w:t>
      </w:r>
    </w:p>
    <w:p w:rsid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Hlk122015419"/>
      <w:r w:rsidRPr="00B10931">
        <w:rPr>
          <w:rFonts w:ascii="Arial" w:hAnsi="Arial" w:cs="Arial"/>
          <w:sz w:val="16"/>
          <w:szCs w:val="16"/>
        </w:rPr>
        <w:t>Все работы по обслуживанию светильника осуществлять только при выключенном электропитании.</w:t>
      </w:r>
    </w:p>
    <w:p w:rsid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Протирку светильника от пыли производить мягкой тканью по мере необходимости. При загрязнении светильника использовать растворитель запрещено, используйте влажную тряпку или обычный ластик.</w:t>
      </w:r>
    </w:p>
    <w:p w:rsidR="00B10931" w:rsidRP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Замену лампы осуществлять по мере необходимости.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z w:val="16"/>
          <w:szCs w:val="16"/>
        </w:rPr>
      </w:pPr>
      <w:r w:rsidRPr="00665B9C">
        <w:rPr>
          <w:rFonts w:ascii="Arial" w:eastAsia="Times New Roman" w:hAnsi="Arial" w:cs="Arial"/>
          <w:b/>
          <w:sz w:val="16"/>
          <w:szCs w:val="16"/>
        </w:rPr>
        <w:t>Характерные неисправности и методы их устранения</w:t>
      </w:r>
      <w:bookmarkEnd w:id="0"/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087"/>
        <w:gridCol w:w="3403"/>
        <w:gridCol w:w="3545"/>
      </w:tblGrid>
      <w:tr w:rsidR="00B42CFF" w:rsidRPr="00665B9C" w:rsidTr="00B42CF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bookmarkStart w:id="1" w:name="_Hlk122015430"/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Pr="00665B9C">
              <w:rPr>
                <w:rFonts w:ascii="Arial" w:hAnsi="Arial" w:cs="Arial"/>
                <w:sz w:val="16"/>
                <w:szCs w:val="16"/>
              </w:rPr>
              <w:t>питания</w:t>
            </w: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B9C">
              <w:rPr>
                <w:rFonts w:ascii="Arial" w:hAnsi="Arial" w:cs="Arial"/>
                <w:sz w:val="16"/>
                <w:szCs w:val="16"/>
              </w:rPr>
              <w:t>светильник</w:t>
            </w: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 не </w:t>
            </w:r>
            <w:r w:rsidRPr="00665B9C">
              <w:rPr>
                <w:rFonts w:ascii="Arial" w:hAnsi="Arial" w:cs="Arial"/>
                <w:sz w:val="16"/>
                <w:szCs w:val="16"/>
              </w:rPr>
              <w:t>работает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 w:rsidRPr="00665B9C"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Неправильная схема подключения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схему подключения и устраните неисправность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B42CFF" w:rsidRPr="00665B9C" w:rsidTr="004E21E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  <w:tr w:rsidR="004E21EF" w:rsidRPr="00665B9C" w:rsidTr="004E21EF">
        <w:trPr>
          <w:trHeight w:val="13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665B9C" w:rsidRDefault="004E21E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665B9C" w:rsidRDefault="004E21E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Перегорела лампа</w:t>
            </w:r>
            <w:r w:rsidR="00782B17" w:rsidRPr="00665B9C">
              <w:rPr>
                <w:rFonts w:ascii="Arial" w:hAnsi="Arial" w:cs="Arial"/>
                <w:sz w:val="16"/>
                <w:szCs w:val="16"/>
              </w:rPr>
              <w:t xml:space="preserve"> в светильнике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F" w:rsidRPr="00665B9C" w:rsidRDefault="004E21E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Замените лампу</w:t>
            </w:r>
          </w:p>
        </w:tc>
      </w:tr>
    </w:tbl>
    <w:bookmarkEnd w:id="1"/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Хранение</w:t>
      </w:r>
    </w:p>
    <w:p w:rsidR="00B42CFF" w:rsidRPr="00665B9C" w:rsidRDefault="00B42CFF" w:rsidP="00665B9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сухих отапливаемых помещениях.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Транспортировка</w:t>
      </w:r>
    </w:p>
    <w:p w:rsidR="00B42CFF" w:rsidRPr="00665B9C" w:rsidRDefault="00B42CFF" w:rsidP="00665B9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Утилизация</w:t>
      </w:r>
    </w:p>
    <w:p w:rsidR="00B42CFF" w:rsidRPr="00665B9C" w:rsidRDefault="00B42CFF" w:rsidP="00665B9C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C143CC" w:rsidRDefault="00C143CC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C143CC" w:rsidRPr="00B10931" w:rsidRDefault="00C143CC" w:rsidP="00C143CC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  <w:lang w:val="en-US"/>
        </w:rPr>
      </w:pPr>
      <w:r w:rsidRPr="00C143CC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</w:t>
      </w:r>
      <w:r w:rsidR="00B10931">
        <w:rPr>
          <w:rFonts w:ascii="Arial" w:hAnsi="Arial" w:cs="Arial"/>
          <w:sz w:val="16"/>
          <w:szCs w:val="16"/>
          <w:lang w:val="en-US"/>
        </w:rPr>
        <w:t>.</w:t>
      </w:r>
    </w:p>
    <w:p w:rsidR="001B2802" w:rsidRDefault="001B2802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460A3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507ACA" w:rsidRPr="00507ACA" w:rsidRDefault="00507ACA" w:rsidP="00507ACA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507ACA">
        <w:rPr>
          <w:rFonts w:ascii="Arial" w:hAnsi="Arial" w:cs="Arial"/>
          <w:sz w:val="16"/>
          <w:szCs w:val="16"/>
        </w:rPr>
        <w:t xml:space="preserve">Сделано в Китае. </w:t>
      </w:r>
      <w:r w:rsidR="00511165" w:rsidRPr="00511165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Нинбо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Юсинг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Лайтинг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Минггуан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Роуд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Цзяншань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Таун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Нинбо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Ningbo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Yusing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Electronics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Co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Civil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Industrial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Zone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Pugen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Village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Qiu’ai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Ningbo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China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Нингбо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Юсинг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Электроникс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Цивил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Пуген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Цюай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Нингбо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>, Китай; «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Zheijiang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Electric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Co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Ltd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Canghai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Road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Lihai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Town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Binhai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New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City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Shaoxing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Zheijiang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Province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China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>/«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Чжецзян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Цанхай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Роад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Лихай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Таун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Бинхай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Шаосин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Чжецзян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511165" w:rsidRPr="00511165">
        <w:rPr>
          <w:rFonts w:ascii="Arial" w:hAnsi="Arial" w:cs="Arial"/>
          <w:sz w:val="16"/>
          <w:szCs w:val="16"/>
        </w:rPr>
        <w:t>ул.Дорожная</w:t>
      </w:r>
      <w:proofErr w:type="spellEnd"/>
      <w:r w:rsidR="00511165" w:rsidRPr="00511165">
        <w:rPr>
          <w:rFonts w:ascii="Arial" w:hAnsi="Arial" w:cs="Arial"/>
          <w:sz w:val="16"/>
          <w:szCs w:val="16"/>
        </w:rPr>
        <w:t>, д. 48, тел. +7(499)394-69-26.</w:t>
      </w:r>
      <w:bookmarkStart w:id="2" w:name="_GoBack"/>
      <w:bookmarkEnd w:id="2"/>
      <w:r w:rsidRPr="00507ACA">
        <w:rPr>
          <w:rFonts w:ascii="Arial" w:hAnsi="Arial" w:cs="Arial"/>
          <w:sz w:val="16"/>
          <w:szCs w:val="16"/>
        </w:rPr>
        <w:t xml:space="preserve"> </w:t>
      </w:r>
    </w:p>
    <w:p w:rsidR="001B2802" w:rsidRPr="001B2802" w:rsidRDefault="00507ACA" w:rsidP="00507ACA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507ACA">
        <w:rPr>
          <w:rFonts w:ascii="Arial" w:hAnsi="Arial" w:cs="Arial"/>
          <w:sz w:val="16"/>
          <w:szCs w:val="16"/>
        </w:rPr>
        <w:t>Дата изготовления нанесена на корпус изделия в формате ММ.ГГГГ, где ММ – месяц изготовления, ГГГГ – год изготовления.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1B2802" w:rsidRDefault="001B2802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1B2802">
        <w:rPr>
          <w:rFonts w:ascii="Arial" w:eastAsia="Times New Roman" w:hAnsi="Arial" w:cs="Arial"/>
          <w:sz w:val="16"/>
          <w:szCs w:val="16"/>
        </w:rPr>
        <w:t xml:space="preserve">Условия гарантии на светильник уточняйте на месте продажи товара. Максимальный срок гарантии на светильник </w:t>
      </w:r>
      <w:r w:rsidR="00B10931" w:rsidRPr="00B10931">
        <w:rPr>
          <w:rFonts w:ascii="Arial" w:eastAsia="Times New Roman" w:hAnsi="Arial" w:cs="Arial"/>
          <w:sz w:val="16"/>
          <w:szCs w:val="16"/>
        </w:rPr>
        <w:t>2</w:t>
      </w:r>
      <w:r w:rsidRPr="001B2802">
        <w:rPr>
          <w:rFonts w:ascii="Arial" w:eastAsia="Times New Roman" w:hAnsi="Arial" w:cs="Arial"/>
          <w:sz w:val="16"/>
          <w:szCs w:val="16"/>
        </w:rPr>
        <w:t xml:space="preserve"> год</w:t>
      </w:r>
      <w:r w:rsidR="00B10931">
        <w:rPr>
          <w:rFonts w:ascii="Arial" w:eastAsia="Times New Roman" w:hAnsi="Arial" w:cs="Arial"/>
          <w:sz w:val="16"/>
          <w:szCs w:val="16"/>
        </w:rPr>
        <w:t>а</w:t>
      </w:r>
      <w:r w:rsidRPr="001B2802">
        <w:rPr>
          <w:rFonts w:ascii="Arial" w:eastAsia="Times New Roman" w:hAnsi="Arial" w:cs="Arial"/>
          <w:sz w:val="16"/>
          <w:szCs w:val="16"/>
        </w:rPr>
        <w:t xml:space="preserve"> (</w:t>
      </w:r>
      <w:r w:rsidR="00B10931">
        <w:rPr>
          <w:rFonts w:ascii="Arial" w:eastAsia="Times New Roman" w:hAnsi="Arial" w:cs="Arial"/>
          <w:sz w:val="16"/>
          <w:szCs w:val="16"/>
        </w:rPr>
        <w:t>24</w:t>
      </w:r>
      <w:r w:rsidRPr="001B2802">
        <w:rPr>
          <w:rFonts w:ascii="Arial" w:eastAsia="Times New Roman" w:hAnsi="Arial" w:cs="Arial"/>
          <w:sz w:val="16"/>
          <w:szCs w:val="16"/>
        </w:rPr>
        <w:t xml:space="preserve"> месяц</w:t>
      </w:r>
      <w:r w:rsidR="00B10931">
        <w:rPr>
          <w:rFonts w:ascii="Arial" w:eastAsia="Times New Roman" w:hAnsi="Arial" w:cs="Arial"/>
          <w:sz w:val="16"/>
          <w:szCs w:val="16"/>
        </w:rPr>
        <w:t>а</w:t>
      </w:r>
      <w:r w:rsidRPr="001B2802">
        <w:rPr>
          <w:rFonts w:ascii="Arial" w:eastAsia="Times New Roman" w:hAnsi="Arial" w:cs="Arial"/>
          <w:sz w:val="16"/>
          <w:szCs w:val="16"/>
        </w:rPr>
        <w:t>) с момента продажи.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 xml:space="preserve">Замене подлежит продукция ТМ </w:t>
      </w:r>
      <w:r w:rsidR="00782B17" w:rsidRPr="00665B9C">
        <w:rPr>
          <w:rFonts w:ascii="Arial" w:eastAsia="Times New Roman" w:hAnsi="Arial" w:cs="Arial"/>
          <w:sz w:val="16"/>
          <w:szCs w:val="16"/>
        </w:rPr>
        <w:t>«</w:t>
      </w:r>
      <w:r w:rsidRPr="00665B9C">
        <w:rPr>
          <w:rFonts w:ascii="Arial" w:eastAsia="Times New Roman" w:hAnsi="Arial" w:cs="Arial"/>
          <w:sz w:val="16"/>
          <w:szCs w:val="16"/>
          <w:lang w:val="en-US"/>
        </w:rPr>
        <w:t>Feron</w:t>
      </w:r>
      <w:r w:rsidR="00782B17" w:rsidRPr="00665B9C">
        <w:rPr>
          <w:rFonts w:ascii="Arial" w:eastAsia="Times New Roman" w:hAnsi="Arial" w:cs="Arial"/>
          <w:sz w:val="16"/>
          <w:szCs w:val="16"/>
        </w:rPr>
        <w:t>»</w:t>
      </w:r>
      <w:r w:rsidRPr="00665B9C">
        <w:rPr>
          <w:rFonts w:ascii="Arial" w:eastAsia="Times New Roman" w:hAnsi="Arial" w:cs="Arial"/>
          <w:sz w:val="16"/>
          <w:szCs w:val="16"/>
        </w:rPr>
        <w:t xml:space="preserve"> не имеющая видимых механических повреждений и следов вскрытия корпуса.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1B2802" w:rsidRPr="00665B9C">
        <w:rPr>
          <w:rFonts w:ascii="Arial" w:eastAsia="Times New Roman" w:hAnsi="Arial" w:cs="Arial"/>
          <w:sz w:val="16"/>
          <w:szCs w:val="16"/>
        </w:rPr>
        <w:t>в других целях,</w:t>
      </w:r>
      <w:r w:rsidRPr="00665B9C">
        <w:rPr>
          <w:rFonts w:ascii="Arial" w:eastAsia="Times New Roman" w:hAnsi="Arial" w:cs="Arial"/>
          <w:sz w:val="16"/>
          <w:szCs w:val="16"/>
        </w:rPr>
        <w:t xml:space="preserve"> не соответствующих прямому применению продукции ТМ Feron предназначенной для бытовых нужд.</w:t>
      </w:r>
    </w:p>
    <w:p w:rsidR="00782B17" w:rsidRPr="00665B9C" w:rsidRDefault="00782B17" w:rsidP="00665B9C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351473" cy="342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48" cy="34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40D" w:rsidRPr="00665B9C" w:rsidRDefault="0094140D" w:rsidP="00665B9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94140D" w:rsidRPr="00665B9C" w:rsidSect="00665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05860"/>
    <w:multiLevelType w:val="hybridMultilevel"/>
    <w:tmpl w:val="E4485176"/>
    <w:lvl w:ilvl="0" w:tplc="9198EDE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C2E67"/>
    <w:multiLevelType w:val="multilevel"/>
    <w:tmpl w:val="C9F0A9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D502C"/>
    <w:multiLevelType w:val="multilevel"/>
    <w:tmpl w:val="C1661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6DC72A77"/>
    <w:multiLevelType w:val="multilevel"/>
    <w:tmpl w:val="907C7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706EC6"/>
    <w:multiLevelType w:val="hybridMultilevel"/>
    <w:tmpl w:val="441695DE"/>
    <w:lvl w:ilvl="0" w:tplc="F746DDF2">
      <w:start w:val="1"/>
      <w:numFmt w:val="decimal"/>
      <w:lvlText w:val="%1."/>
      <w:lvlJc w:val="left"/>
      <w:pPr>
        <w:ind w:left="720" w:hanging="360"/>
      </w:pPr>
      <w:rPr>
        <w:b/>
        <w:sz w:val="16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FF"/>
    <w:rsid w:val="0000277A"/>
    <w:rsid w:val="00105678"/>
    <w:rsid w:val="00134633"/>
    <w:rsid w:val="00187F76"/>
    <w:rsid w:val="001B2802"/>
    <w:rsid w:val="001B7021"/>
    <w:rsid w:val="002E7FF1"/>
    <w:rsid w:val="004106C8"/>
    <w:rsid w:val="004905D9"/>
    <w:rsid w:val="004E21EF"/>
    <w:rsid w:val="00507ACA"/>
    <w:rsid w:val="00511165"/>
    <w:rsid w:val="005B1C0F"/>
    <w:rsid w:val="006630BD"/>
    <w:rsid w:val="00665B9C"/>
    <w:rsid w:val="00666B8E"/>
    <w:rsid w:val="00782B17"/>
    <w:rsid w:val="007C67C5"/>
    <w:rsid w:val="00800FA5"/>
    <w:rsid w:val="00892749"/>
    <w:rsid w:val="0094140D"/>
    <w:rsid w:val="009D4422"/>
    <w:rsid w:val="00A210F0"/>
    <w:rsid w:val="00A413CA"/>
    <w:rsid w:val="00B10931"/>
    <w:rsid w:val="00B42CFF"/>
    <w:rsid w:val="00BF7E1D"/>
    <w:rsid w:val="00C143CC"/>
    <w:rsid w:val="00D26F13"/>
    <w:rsid w:val="00D603B1"/>
    <w:rsid w:val="00D75344"/>
    <w:rsid w:val="00D91A04"/>
    <w:rsid w:val="00DE3DC0"/>
    <w:rsid w:val="00DF0322"/>
    <w:rsid w:val="00E26A6D"/>
    <w:rsid w:val="00F363FB"/>
    <w:rsid w:val="00F75FD8"/>
    <w:rsid w:val="00F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0AB41-C7F6-499D-9A8F-417B1B39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FF"/>
    <w:pPr>
      <w:ind w:left="720"/>
      <w:contextualSpacing/>
    </w:pPr>
  </w:style>
  <w:style w:type="table" w:styleId="a4">
    <w:name w:val="Table Grid"/>
    <w:basedOn w:val="a1"/>
    <w:uiPriority w:val="59"/>
    <w:rsid w:val="00B42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4</cp:revision>
  <dcterms:created xsi:type="dcterms:W3CDTF">2022-12-29T07:29:00Z</dcterms:created>
  <dcterms:modified xsi:type="dcterms:W3CDTF">2023-08-31T09:14:00Z</dcterms:modified>
</cp:coreProperties>
</file>